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png" ContentType="image/png"/>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Default"/>
        <w:jc w:val="center"/>
        <w:rPr>
          <w:rFonts w:ascii="Arial Narrow" w:hAnsi="Arial Narrow" w:cs="Arial"/>
          <w:i/>
          <w:i/>
          <w:sz w:val="32"/>
          <w:szCs w:val="32"/>
          <w:highlight w:val="yellow"/>
          <w:lang w:eastAsia="fr-FR"/>
        </w:rPr>
      </w:pPr>
      <w:r>
        <w:rPr/>
        <w:drawing>
          <wp:anchor behindDoc="0" distT="0" distB="0" distL="0" distR="0" simplePos="0" locked="0" layoutInCell="0" allowOverlap="1" relativeHeight="2">
            <wp:simplePos x="0" y="0"/>
            <wp:positionH relativeFrom="column">
              <wp:posOffset>-17145</wp:posOffset>
            </wp:positionH>
            <wp:positionV relativeFrom="paragraph">
              <wp:posOffset>-47625</wp:posOffset>
            </wp:positionV>
            <wp:extent cx="1356995" cy="104013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356995" cy="1040130"/>
                    </a:xfrm>
                    <a:prstGeom prst="rect">
                      <a:avLst/>
                    </a:prstGeom>
                  </pic:spPr>
                </pic:pic>
              </a:graphicData>
            </a:graphic>
          </wp:anchor>
        </w:drawing>
      </w:r>
    </w:p>
    <w:p>
      <w:pPr>
        <w:pStyle w:val="Default"/>
        <w:jc w:val="center"/>
        <w:rPr>
          <w:rFonts w:ascii="Arial Narrow" w:hAnsi="Arial Narrow" w:cs="Arial"/>
          <w:i/>
          <w:i/>
          <w:sz w:val="32"/>
          <w:szCs w:val="32"/>
          <w:highlight w:val="yellow"/>
          <w:lang w:eastAsia="fr-FR"/>
        </w:rPr>
      </w:pPr>
      <w:r>
        <w:rPr/>
      </w:r>
    </w:p>
    <w:p>
      <w:pPr>
        <w:pStyle w:val="Default"/>
        <w:jc w:val="center"/>
        <w:rPr>
          <w:rFonts w:ascii="Arial Narrow" w:hAnsi="Arial Narrow" w:cs="Arial"/>
          <w:i/>
          <w:i/>
          <w:sz w:val="32"/>
          <w:szCs w:val="32"/>
          <w:highlight w:val="yellow"/>
          <w:lang w:eastAsia="fr-FR"/>
        </w:rPr>
      </w:pPr>
      <w:r>
        <w:rPr/>
      </w:r>
    </w:p>
    <w:p>
      <w:pPr>
        <w:pStyle w:val="Default"/>
        <w:jc w:val="center"/>
        <w:rPr>
          <w:rFonts w:ascii="Arial Narrow" w:hAnsi="Arial Narrow" w:cs="Arial"/>
          <w:i/>
          <w:i/>
          <w:sz w:val="32"/>
          <w:szCs w:val="32"/>
          <w:highlight w:val="yellow"/>
          <w:lang w:eastAsia="fr-FR"/>
        </w:rPr>
      </w:pPr>
      <w:r>
        <w:rPr/>
      </w:r>
    </w:p>
    <w:p>
      <w:pPr>
        <w:pStyle w:val="Default"/>
        <w:jc w:val="center"/>
        <w:rPr>
          <w:rFonts w:ascii="Arial Narrow" w:hAnsi="Arial Narrow" w:cs="Arial"/>
          <w:i/>
          <w:i/>
          <w:sz w:val="32"/>
          <w:szCs w:val="32"/>
          <w:highlight w:val="yellow"/>
          <w:lang w:eastAsia="fr-FR"/>
        </w:rPr>
      </w:pPr>
      <w:r>
        <w:rPr/>
      </w:r>
    </w:p>
    <w:p>
      <w:pPr>
        <w:pStyle w:val="Default"/>
        <w:jc w:val="center"/>
        <w:rPr>
          <w:rFonts w:ascii="Arial Narrow" w:hAnsi="Arial Narrow" w:cs="Arial"/>
          <w:i/>
          <w:i/>
          <w:sz w:val="32"/>
          <w:szCs w:val="32"/>
          <w:highlight w:val="yellow"/>
          <w:lang w:eastAsia="fr-FR"/>
        </w:rPr>
      </w:pPr>
      <w:r>
        <w:rPr/>
      </w:r>
    </w:p>
    <w:p>
      <w:pPr>
        <w:pStyle w:val="Default"/>
        <w:rPr>
          <w:color w:val="auto"/>
        </w:rPr>
      </w:pPr>
      <w:r>
        <w:rPr>
          <w:color w:val="auto"/>
        </w:rPr>
      </w:r>
    </w:p>
    <w:p>
      <w:pPr>
        <w:pStyle w:val="Default"/>
        <w:jc w:val="center"/>
        <w:rPr>
          <w:b/>
          <w:bCs/>
          <w:color w:val="4472C4" w:themeColor="accent5"/>
          <w:sz w:val="23"/>
          <w:szCs w:val="23"/>
        </w:rPr>
      </w:pPr>
      <w:r>
        <w:rPr>
          <w:b/>
          <w:bCs/>
          <w:color w:val="4472C4" w:themeColor="accent5"/>
          <w:sz w:val="23"/>
          <w:szCs w:val="23"/>
        </w:rPr>
        <w:t>ANNEXE N°</w:t>
      </w:r>
      <w:r>
        <w:rPr>
          <w:b/>
          <w:bCs/>
          <w:color w:val="4472C4" w:themeColor="accent5"/>
          <w:sz w:val="23"/>
          <w:szCs w:val="23"/>
        </w:rPr>
        <w:t xml:space="preserve">1 </w:t>
      </w:r>
      <w:r>
        <w:rPr>
          <w:b/>
          <w:bCs/>
          <w:color w:val="4472C4" w:themeColor="accent5"/>
          <w:sz w:val="23"/>
          <w:szCs w:val="23"/>
        </w:rPr>
        <w:t xml:space="preserve">A L’ACTE D’ENGAGEMENT </w:t>
      </w:r>
    </w:p>
    <w:p>
      <w:pPr>
        <w:pStyle w:val="Default"/>
        <w:jc w:val="center"/>
        <w:rPr>
          <w:color w:val="4472C4" w:themeColor="accent5"/>
          <w:sz w:val="23"/>
          <w:szCs w:val="23"/>
          <w:u w:val="single"/>
        </w:rPr>
      </w:pPr>
      <w:r>
        <w:rPr>
          <w:b/>
          <w:bCs/>
          <w:color w:val="4472C4" w:themeColor="accent5"/>
          <w:sz w:val="23"/>
          <w:szCs w:val="23"/>
          <w:u w:val="single"/>
        </w:rPr>
        <w:t>ENGAGEMENT D’INSERTION</w:t>
      </w:r>
    </w:p>
    <w:p>
      <w:pPr>
        <w:pStyle w:val="Default"/>
        <w:rPr>
          <w:color w:val="4472C4" w:themeColor="accent5"/>
          <w:sz w:val="23"/>
          <w:szCs w:val="23"/>
        </w:rPr>
      </w:pPr>
      <w:r>
        <w:rPr>
          <w:color w:val="4472C4" w:themeColor="accent5"/>
          <w:sz w:val="23"/>
          <w:szCs w:val="23"/>
        </w:rPr>
      </w:r>
    </w:p>
    <w:p>
      <w:pPr>
        <w:pStyle w:val="Default"/>
        <w:rPr>
          <w:color w:val="4472C4" w:themeColor="accent5"/>
          <w:sz w:val="23"/>
          <w:szCs w:val="23"/>
        </w:rPr>
      </w:pPr>
      <w:r>
        <w:rPr>
          <w:color w:val="4472C4" w:themeColor="accent5"/>
          <w:sz w:val="23"/>
          <w:szCs w:val="23"/>
        </w:rPr>
      </w:r>
    </w:p>
    <w:p>
      <w:pPr>
        <w:pStyle w:val="Default"/>
        <w:rPr>
          <w:color w:val="auto"/>
          <w:sz w:val="23"/>
          <w:szCs w:val="23"/>
        </w:rPr>
      </w:pPr>
      <w:r>
        <w:rPr>
          <w:color w:val="auto"/>
          <w:sz w:val="23"/>
          <w:szCs w:val="23"/>
        </w:rPr>
      </w:r>
    </w:p>
    <w:p>
      <w:pPr>
        <w:pStyle w:val="Default"/>
        <w:rPr>
          <w:color w:val="auto"/>
          <w:sz w:val="23"/>
          <w:szCs w:val="23"/>
        </w:rPr>
      </w:pPr>
      <w:r>
        <w:rPr>
          <w:color w:val="auto"/>
          <w:sz w:val="23"/>
          <w:szCs w:val="23"/>
        </w:rPr>
        <w:t xml:space="preserve">Je soussigné(e), </w:t>
      </w:r>
    </w:p>
    <w:p>
      <w:pPr>
        <w:pStyle w:val="Default"/>
        <w:rPr>
          <w:color w:val="auto"/>
          <w:sz w:val="23"/>
          <w:szCs w:val="23"/>
        </w:rPr>
      </w:pPr>
      <w:r>
        <w:rPr>
          <w:color w:val="auto"/>
          <w:sz w:val="23"/>
          <w:szCs w:val="23"/>
        </w:rPr>
        <w:t xml:space="preserve">Nom du signataire : </w:t>
        <w:tab/>
        <w:tab/>
        <w:t xml:space="preserve">Prénom : </w:t>
        <w:tab/>
        <w:tab/>
        <w:t xml:space="preserve">Qualité : </w:t>
      </w:r>
    </w:p>
    <w:p>
      <w:pPr>
        <w:pStyle w:val="Default"/>
        <w:rPr>
          <w:color w:val="auto"/>
          <w:sz w:val="23"/>
          <w:szCs w:val="23"/>
        </w:rPr>
      </w:pPr>
      <w:r>
        <w:rPr>
          <w:color w:val="auto"/>
          <w:sz w:val="23"/>
          <w:szCs w:val="23"/>
        </w:rPr>
      </w:r>
    </w:p>
    <w:p>
      <w:pPr>
        <w:pStyle w:val="Default"/>
        <w:rPr>
          <w:color w:val="auto"/>
          <w:sz w:val="23"/>
          <w:szCs w:val="23"/>
        </w:rPr>
      </w:pPr>
      <w:r>
        <w:rPr>
          <w:color w:val="auto"/>
          <w:sz w:val="23"/>
          <w:szCs w:val="23"/>
        </w:rPr>
      </w:r>
    </w:p>
    <w:p>
      <w:pPr>
        <w:pStyle w:val="Default"/>
        <w:rPr>
          <w:color w:val="auto"/>
          <w:sz w:val="23"/>
          <w:szCs w:val="23"/>
        </w:rPr>
      </w:pPr>
      <w:r>
        <w:rPr>
          <w:color w:val="auto"/>
          <w:sz w:val="23"/>
          <w:szCs w:val="23"/>
        </w:rPr>
        <w:t xml:space="preserve">Déclare avoir pris connaissance du Cahier des Clauses Administratives Particulières (CCAP) et notamment des dispositions relatives à l’action d’insertion en faveur des personnes rencontrant des difficultés sociales ou professionnelles particulières prévues sur ce marché. </w:t>
      </w:r>
    </w:p>
    <w:p>
      <w:pPr>
        <w:pStyle w:val="Default"/>
        <w:rPr>
          <w:color w:val="auto"/>
          <w:sz w:val="23"/>
          <w:szCs w:val="23"/>
        </w:rPr>
      </w:pPr>
      <w:r>
        <w:rPr>
          <w:color w:val="auto"/>
          <w:sz w:val="23"/>
          <w:szCs w:val="23"/>
        </w:rPr>
      </w:r>
    </w:p>
    <w:p>
      <w:pPr>
        <w:pStyle w:val="Default"/>
        <w:jc w:val="both"/>
        <w:rPr>
          <w:color w:val="auto"/>
          <w:sz w:val="23"/>
          <w:szCs w:val="23"/>
        </w:rPr>
      </w:pPr>
      <w:r>
        <w:rPr>
          <w:color w:val="auto"/>
          <w:sz w:val="23"/>
          <w:szCs w:val="23"/>
        </w:rPr>
        <w:t xml:space="preserve">M’engage, si je suis déclaré attributaire du marché, d’un ou plusieurs lots, comportant une obligation d’insertion, à : </w:t>
      </w:r>
    </w:p>
    <w:p>
      <w:pPr>
        <w:pStyle w:val="Default"/>
        <w:jc w:val="both"/>
        <w:rPr>
          <w:color w:val="auto"/>
          <w:sz w:val="23"/>
          <w:szCs w:val="23"/>
        </w:rPr>
      </w:pPr>
      <w:r>
        <w:rPr>
          <w:color w:val="auto"/>
          <w:sz w:val="23"/>
          <w:szCs w:val="23"/>
        </w:rPr>
      </w:r>
    </w:p>
    <w:p>
      <w:pPr>
        <w:pStyle w:val="Default"/>
        <w:spacing w:before="0" w:after="47"/>
        <w:jc w:val="both"/>
        <w:rPr>
          <w:color w:val="auto"/>
          <w:sz w:val="23"/>
          <w:szCs w:val="23"/>
        </w:rPr>
      </w:pPr>
      <w:r>
        <w:rPr>
          <w:color w:val="auto"/>
          <w:sz w:val="23"/>
          <w:szCs w:val="23"/>
        </w:rPr>
        <w:t xml:space="preserve">- Réserver, dans l’exécution du marché concerné, un nombre d’heures d’insertion, sur la durée du chantier, au moins égal à celui indiqué dans la présente annexe en conformité avec les exigences du CCAP, </w:t>
      </w:r>
    </w:p>
    <w:p>
      <w:pPr>
        <w:pStyle w:val="Default"/>
        <w:spacing w:before="0" w:after="47"/>
        <w:jc w:val="both"/>
        <w:rPr>
          <w:color w:val="auto"/>
          <w:sz w:val="23"/>
          <w:szCs w:val="23"/>
        </w:rPr>
      </w:pPr>
      <w:r>
        <w:rPr>
          <w:color w:val="auto"/>
          <w:sz w:val="23"/>
          <w:szCs w:val="23"/>
        </w:rPr>
      </w:r>
    </w:p>
    <w:p>
      <w:pPr>
        <w:pStyle w:val="Default"/>
        <w:spacing w:before="0" w:after="47"/>
        <w:jc w:val="both"/>
        <w:rPr>
          <w:color w:val="auto"/>
          <w:sz w:val="23"/>
          <w:szCs w:val="23"/>
        </w:rPr>
      </w:pPr>
      <w:r>
        <w:rPr>
          <w:color w:val="auto"/>
          <w:sz w:val="23"/>
          <w:szCs w:val="23"/>
        </w:rPr>
        <w:t>-S’engage à désigner un ou des tuteur(s) pilote(s) pour encadrer les agents en insertion.</w:t>
      </w:r>
    </w:p>
    <w:p>
      <w:pPr>
        <w:pStyle w:val="Default"/>
        <w:spacing w:before="0" w:after="47"/>
        <w:jc w:val="both"/>
        <w:rPr>
          <w:color w:val="auto"/>
          <w:sz w:val="23"/>
          <w:szCs w:val="23"/>
        </w:rPr>
      </w:pPr>
      <w:r>
        <w:rPr>
          <w:color w:val="auto"/>
          <w:sz w:val="23"/>
          <w:szCs w:val="23"/>
        </w:rPr>
      </w:r>
    </w:p>
    <w:p>
      <w:pPr>
        <w:pStyle w:val="Default"/>
        <w:jc w:val="both"/>
        <w:rPr>
          <w:color w:val="auto"/>
          <w:sz w:val="23"/>
          <w:szCs w:val="23"/>
        </w:rPr>
      </w:pPr>
      <w:r>
        <w:rPr>
          <w:color w:val="auto"/>
          <w:sz w:val="23"/>
          <w:szCs w:val="23"/>
        </w:rPr>
        <w:t xml:space="preserve">- S’engage à remettre lors de chaque réunion de chantier tous les renseignements relatifs à la mise en œuvre de l’action et toutes les informations utiles à l’appréciation de la réalisation de l’action d’insertion. </w:t>
      </w:r>
    </w:p>
    <w:p>
      <w:pPr>
        <w:pStyle w:val="Default"/>
        <w:jc w:val="both"/>
        <w:rPr>
          <w:color w:val="auto"/>
          <w:sz w:val="23"/>
          <w:szCs w:val="23"/>
        </w:rPr>
      </w:pPr>
      <w:r>
        <w:rPr>
          <w:color w:val="auto"/>
          <w:sz w:val="23"/>
          <w:szCs w:val="23"/>
        </w:rPr>
        <w:t xml:space="preserve">Contact : </w:t>
      </w:r>
      <w:r>
        <w:rPr>
          <w:rFonts w:ascii="Times New Roman" w:hAnsi="Times New Roman"/>
          <w:b/>
          <w:bCs/>
          <w:color w:val="auto"/>
          <w:sz w:val="22"/>
          <w:szCs w:val="22"/>
        </w:rPr>
        <w:t>Pascale BEZARES</w:t>
      </w:r>
    </w:p>
    <w:p>
      <w:pPr>
        <w:pStyle w:val="Corpsdetexte"/>
        <w:shd w:fill="FFFFFF" w:val="clear"/>
        <w:spacing w:before="0" w:after="0"/>
        <w:ind w:left="0" w:right="0" w:hanging="0"/>
        <w:jc w:val="left"/>
        <w:rPr>
          <w:rFonts w:ascii="Times New Roman" w:hAnsi="Times New Roman"/>
          <w:b w:val="false"/>
          <w:bCs w:val="false"/>
          <w:color w:val="auto"/>
          <w:sz w:val="22"/>
          <w:szCs w:val="22"/>
        </w:rPr>
      </w:pPr>
      <w:r>
        <w:rPr>
          <w:rFonts w:ascii="Times New Roman" w:hAnsi="Times New Roman"/>
          <w:b w:val="false"/>
          <w:bCs w:val="false"/>
          <w:color w:val="auto"/>
          <w:sz w:val="22"/>
          <w:szCs w:val="22"/>
        </w:rPr>
        <w:t>Assistante de projets - Facilitatrice des Clauses Sociales d'Insertion dans les Marchés Publics</w:t>
      </w:r>
    </w:p>
    <w:p>
      <w:pPr>
        <w:pStyle w:val="Corpsdetexte"/>
        <w:shd w:fill="FFFFFF" w:val="clear"/>
        <w:spacing w:before="0" w:after="0"/>
        <w:ind w:left="0" w:right="0" w:hanging="0"/>
        <w:jc w:val="left"/>
        <w:rPr>
          <w:rFonts w:ascii="Times New Roman" w:hAnsi="Times New Roman"/>
          <w:b w:val="false"/>
          <w:bCs w:val="false"/>
          <w:color w:val="auto"/>
          <w:sz w:val="22"/>
          <w:szCs w:val="22"/>
        </w:rPr>
      </w:pPr>
      <w:r>
        <w:rPr>
          <w:rFonts w:ascii="Times New Roman" w:hAnsi="Times New Roman"/>
          <w:b w:val="false"/>
          <w:bCs w:val="false"/>
          <w:color w:val="auto"/>
          <w:sz w:val="22"/>
          <w:szCs w:val="22"/>
        </w:rPr>
        <w:t>Maison de l'Emploi PM / PLIE PM</w:t>
      </w:r>
    </w:p>
    <w:p>
      <w:pPr>
        <w:pStyle w:val="Corpsdetexte"/>
        <w:shd w:fill="FFFFFF" w:val="clear"/>
        <w:spacing w:before="0" w:after="0"/>
        <w:ind w:left="0" w:right="0" w:hanging="0"/>
        <w:jc w:val="left"/>
        <w:rPr>
          <w:rFonts w:ascii="Times New Roman" w:hAnsi="Times New Roman"/>
          <w:b w:val="false"/>
          <w:bCs w:val="false"/>
          <w:color w:val="auto"/>
          <w:sz w:val="22"/>
          <w:szCs w:val="22"/>
        </w:rPr>
      </w:pPr>
      <w:r>
        <w:rPr>
          <w:rFonts w:ascii="Times New Roman" w:hAnsi="Times New Roman"/>
          <w:b w:val="false"/>
          <w:bCs w:val="false"/>
          <w:color w:val="auto"/>
          <w:sz w:val="22"/>
          <w:szCs w:val="22"/>
        </w:rPr>
        <w:t xml:space="preserve">Portable : </w:t>
      </w:r>
      <w:r>
        <w:rPr>
          <w:rFonts w:ascii="Times New Roman" w:hAnsi="Times New Roman"/>
          <w:b w:val="false"/>
          <w:bCs w:val="false"/>
          <w:color w:val="0000FF"/>
          <w:sz w:val="22"/>
          <w:szCs w:val="22"/>
        </w:rPr>
        <w:t>07 56 43 72 27</w:t>
      </w:r>
    </w:p>
    <w:p>
      <w:pPr>
        <w:pStyle w:val="Corpsdetexte"/>
        <w:shd w:fill="FFFFFF" w:val="clear"/>
        <w:spacing w:before="0" w:after="0"/>
        <w:ind w:left="0" w:right="0" w:hanging="0"/>
        <w:jc w:val="left"/>
        <w:rPr>
          <w:rFonts w:ascii="Times New Roman" w:hAnsi="Times New Roman"/>
          <w:b w:val="false"/>
          <w:bCs w:val="false"/>
          <w:color w:val="auto"/>
          <w:sz w:val="22"/>
          <w:szCs w:val="22"/>
        </w:rPr>
      </w:pPr>
      <w:r>
        <w:rPr>
          <w:rFonts w:ascii="Times New Roman" w:hAnsi="Times New Roman"/>
          <w:b w:val="false"/>
          <w:bCs w:val="false"/>
          <w:color w:val="auto"/>
          <w:sz w:val="22"/>
          <w:szCs w:val="22"/>
        </w:rPr>
        <w:t>Adresse de correspondance : 237 Place de la Liberté - 83000 Toulon</w:t>
      </w:r>
    </w:p>
    <w:p>
      <w:pPr>
        <w:pStyle w:val="Default"/>
        <w:jc w:val="both"/>
        <w:rPr>
          <w:color w:val="auto"/>
          <w:sz w:val="23"/>
          <w:szCs w:val="23"/>
        </w:rPr>
      </w:pPr>
      <w:r>
        <w:rPr>
          <w:color w:val="auto"/>
          <w:sz w:val="23"/>
          <w:szCs w:val="23"/>
        </w:rPr>
      </w:r>
    </w:p>
    <w:p>
      <w:pPr>
        <w:pStyle w:val="Default"/>
        <w:spacing w:before="0" w:after="47"/>
        <w:jc w:val="both"/>
        <w:rPr>
          <w:color w:val="auto"/>
          <w:sz w:val="23"/>
          <w:szCs w:val="23"/>
        </w:rPr>
      </w:pPr>
      <w:r>
        <w:rPr>
          <w:color w:val="auto"/>
          <w:sz w:val="23"/>
          <w:szCs w:val="23"/>
        </w:rPr>
        <w:t>- Déclare avoir pris connaissance que l’entreprise est pleinement responsable de l’ensemble de son marché et de l’application effective des clauses d’insertion prévues au marché.</w:t>
      </w:r>
    </w:p>
    <w:p>
      <w:pPr>
        <w:pStyle w:val="Default"/>
        <w:spacing w:before="0" w:after="47"/>
        <w:jc w:val="both"/>
        <w:rPr>
          <w:color w:val="auto"/>
          <w:sz w:val="23"/>
          <w:szCs w:val="23"/>
        </w:rPr>
      </w:pPr>
      <w:r>
        <w:rPr>
          <w:color w:val="auto"/>
          <w:sz w:val="23"/>
          <w:szCs w:val="23"/>
        </w:rPr>
      </w:r>
    </w:p>
    <w:p>
      <w:pPr>
        <w:pStyle w:val="Default"/>
        <w:spacing w:before="0" w:after="47"/>
        <w:jc w:val="both"/>
        <w:rPr>
          <w:color w:val="auto"/>
          <w:sz w:val="23"/>
          <w:szCs w:val="23"/>
        </w:rPr>
      </w:pPr>
      <w:r>
        <w:rPr>
          <w:color w:val="auto"/>
          <w:sz w:val="23"/>
          <w:szCs w:val="23"/>
        </w:rPr>
        <w:t>Le titulaire s’engage à réserver une part des emplois à du personnel en insertion à hauteur de :</w:t>
      </w:r>
    </w:p>
    <w:p>
      <w:pPr>
        <w:pStyle w:val="Default"/>
        <w:spacing w:before="0" w:after="47"/>
        <w:jc w:val="both"/>
        <w:rPr>
          <w:color w:val="auto"/>
          <w:sz w:val="23"/>
          <w:szCs w:val="23"/>
        </w:rPr>
      </w:pPr>
      <w:r>
        <w:rPr/>
      </w:r>
    </w:p>
    <w:p>
      <w:pPr>
        <w:pStyle w:val="Default"/>
        <w:spacing w:before="0" w:after="47"/>
        <w:jc w:val="both"/>
        <w:rPr>
          <w:color w:val="auto"/>
          <w:sz w:val="23"/>
          <w:szCs w:val="23"/>
        </w:rPr>
      </w:pPr>
      <w:r>
        <w:rPr/>
      </w:r>
    </w:p>
    <w:p>
      <w:pPr>
        <w:pStyle w:val="Default"/>
        <w:spacing w:before="0" w:after="47"/>
        <w:jc w:val="both"/>
        <w:rPr>
          <w:color w:val="auto"/>
          <w:sz w:val="23"/>
          <w:szCs w:val="23"/>
        </w:rPr>
      </w:pPr>
      <w:r>
        <w:rPr/>
      </w:r>
    </w:p>
    <w:p>
      <w:pPr>
        <w:pStyle w:val="Default"/>
        <w:spacing w:before="0" w:after="47"/>
        <w:jc w:val="both"/>
        <w:rPr>
          <w:color w:val="auto"/>
          <w:sz w:val="23"/>
          <w:szCs w:val="23"/>
        </w:rPr>
      </w:pPr>
      <w:r>
        <w:rPr/>
      </w:r>
    </w:p>
    <w:p>
      <w:pPr>
        <w:pStyle w:val="Default"/>
        <w:spacing w:before="0" w:after="47"/>
        <w:jc w:val="both"/>
        <w:rPr>
          <w:color w:val="auto"/>
          <w:sz w:val="23"/>
          <w:szCs w:val="23"/>
        </w:rPr>
      </w:pPr>
      <w:r>
        <w:rPr/>
      </w:r>
    </w:p>
    <w:p>
      <w:pPr>
        <w:pStyle w:val="Default"/>
        <w:spacing w:before="0" w:after="47"/>
        <w:jc w:val="both"/>
        <w:rPr>
          <w:color w:val="auto"/>
          <w:sz w:val="23"/>
          <w:szCs w:val="23"/>
        </w:rPr>
      </w:pPr>
      <w:r>
        <w:rPr/>
      </w:r>
    </w:p>
    <w:p>
      <w:pPr>
        <w:pStyle w:val="Default"/>
        <w:spacing w:before="0" w:after="47"/>
        <w:jc w:val="both"/>
        <w:rPr>
          <w:color w:val="auto"/>
          <w:sz w:val="23"/>
          <w:szCs w:val="23"/>
        </w:rPr>
      </w:pPr>
      <w:r>
        <w:rPr>
          <w:color w:val="auto"/>
          <w:sz w:val="23"/>
          <w:szCs w:val="23"/>
        </w:rPr>
        <w:drawing>
          <wp:anchor behindDoc="0" distT="0" distB="0" distL="0" distR="0" simplePos="0" locked="0" layoutInCell="0" allowOverlap="1" relativeHeight="3">
            <wp:simplePos x="0" y="0"/>
            <wp:positionH relativeFrom="column">
              <wp:posOffset>47625</wp:posOffset>
            </wp:positionH>
            <wp:positionV relativeFrom="paragraph">
              <wp:posOffset>85090</wp:posOffset>
            </wp:positionV>
            <wp:extent cx="5760720" cy="3338830"/>
            <wp:effectExtent l="0" t="0" r="0" b="0"/>
            <wp:wrapSquare wrapText="largest"/>
            <wp:docPr id="2" name="Image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Copie 1" descr=""/>
                    <pic:cNvPicPr>
                      <a:picLocks noChangeAspect="1" noChangeArrowheads="1"/>
                    </pic:cNvPicPr>
                  </pic:nvPicPr>
                  <pic:blipFill>
                    <a:blip r:embed="rId3"/>
                    <a:stretch>
                      <a:fillRect/>
                    </a:stretch>
                  </pic:blipFill>
                  <pic:spPr bwMode="auto">
                    <a:xfrm>
                      <a:off x="0" y="0"/>
                      <a:ext cx="5760720" cy="3338830"/>
                    </a:xfrm>
                    <a:prstGeom prst="rect">
                      <a:avLst/>
                    </a:prstGeom>
                  </pic:spPr>
                </pic:pic>
              </a:graphicData>
            </a:graphic>
          </wp:anchor>
        </w:drawing>
      </w:r>
    </w:p>
    <w:p>
      <w:pPr>
        <w:pStyle w:val="Default"/>
        <w:rPr>
          <w:color w:val="auto"/>
          <w:sz w:val="23"/>
          <w:szCs w:val="23"/>
          <w:u w:val="single"/>
        </w:rPr>
      </w:pPr>
      <w:r>
        <w:rPr>
          <w:color w:val="auto"/>
          <w:sz w:val="23"/>
          <w:szCs w:val="23"/>
        </w:rPr>
        <w:t xml:space="preserve">NB : </w:t>
      </w:r>
      <w:r>
        <w:rPr>
          <w:color w:val="auto"/>
          <w:sz w:val="23"/>
          <w:szCs w:val="23"/>
          <w:u w:val="single"/>
        </w:rPr>
        <w:t xml:space="preserve">Le nombre d’heures de formation éventuellement réalisée par la personne en parcours d’insertion est pris en compte, au prorata de sa présence affectée aux prestations du marché. </w:t>
      </w:r>
    </w:p>
    <w:p>
      <w:pPr>
        <w:pStyle w:val="Default"/>
        <w:rPr>
          <w:color w:val="auto"/>
          <w:sz w:val="23"/>
          <w:szCs w:val="23"/>
        </w:rPr>
      </w:pPr>
      <w:r>
        <w:rPr>
          <w:color w:val="auto"/>
        </w:rPr>
      </w:r>
    </w:p>
    <w:p>
      <w:pPr>
        <w:pStyle w:val="Default"/>
        <w:rPr>
          <w:color w:val="auto"/>
          <w:sz w:val="23"/>
          <w:szCs w:val="23"/>
        </w:rPr>
      </w:pPr>
      <w:r>
        <w:rPr>
          <w:color w:val="auto"/>
          <w:sz w:val="23"/>
          <w:szCs w:val="23"/>
        </w:rPr>
        <w:t xml:space="preserve">Le titulaire pourra adapter les modalités de mise en œuvre des clauses sociales durant le marché. </w:t>
      </w:r>
    </w:p>
    <w:p>
      <w:pPr>
        <w:pStyle w:val="Default"/>
        <w:rPr>
          <w:color w:val="auto"/>
          <w:sz w:val="23"/>
          <w:szCs w:val="23"/>
        </w:rPr>
      </w:pPr>
      <w:r>
        <w:rPr>
          <w:color w:val="auto"/>
          <w:sz w:val="23"/>
          <w:szCs w:val="23"/>
        </w:rPr>
        <w:t xml:space="preserve">En cas de groupement d’entreprises, la répartition des heures entre les cotraitants devra alors être déterminée. </w:t>
      </w:r>
    </w:p>
    <w:p>
      <w:pPr>
        <w:pStyle w:val="Default"/>
        <w:rPr>
          <w:color w:val="auto"/>
          <w:sz w:val="12"/>
          <w:szCs w:val="12"/>
        </w:rPr>
      </w:pPr>
      <w:r>
        <w:rPr>
          <w:color w:val="auto"/>
          <w:sz w:val="12"/>
          <w:szCs w:val="12"/>
        </w:rPr>
      </w:r>
    </w:p>
    <w:p>
      <w:pPr>
        <w:pStyle w:val="Default"/>
        <w:jc w:val="both"/>
        <w:rPr>
          <w:color w:val="auto"/>
          <w:sz w:val="23"/>
          <w:szCs w:val="23"/>
        </w:rPr>
      </w:pPr>
      <w:r>
        <w:rPr>
          <w:color w:val="auto"/>
          <w:sz w:val="23"/>
          <w:szCs w:val="23"/>
        </w:rPr>
        <w:t>A défaut d’avoir pu trouver des candidats correspondant aux catégories susvisées, après une recherche active dont vous devrez être en mesure de présenter les justificatifs, votre société pourra librement recruter, notamment en faisant appel à une entreprise de travail temporaire classique ou en s’appuyant sur les services de Pôle Emploi.</w:t>
      </w:r>
    </w:p>
    <w:p>
      <w:pPr>
        <w:pStyle w:val="Default"/>
        <w:rPr>
          <w:color w:val="auto"/>
          <w:sz w:val="12"/>
          <w:szCs w:val="12"/>
        </w:rPr>
      </w:pPr>
      <w:r>
        <w:rPr>
          <w:color w:val="auto"/>
          <w:sz w:val="12"/>
          <w:szCs w:val="12"/>
        </w:rPr>
      </w:r>
    </w:p>
    <w:p>
      <w:pPr>
        <w:pStyle w:val="Default"/>
        <w:rPr>
          <w:b/>
          <w:color w:val="auto"/>
          <w:sz w:val="23"/>
          <w:szCs w:val="23"/>
        </w:rPr>
      </w:pPr>
      <w:r>
        <w:rPr>
          <w:b/>
          <w:color w:val="auto"/>
          <w:sz w:val="23"/>
          <w:szCs w:val="23"/>
        </w:rPr>
        <w:t xml:space="preserve">Dans le cadre de ce dispositif et conformément à l’article 20.1.4.2 du CCAG-Travaux, l’entreprise désigne un correspondant pour le facilitateur, en charge du suivi de la clause sociale de ce marché : </w:t>
      </w:r>
    </w:p>
    <w:p>
      <w:pPr>
        <w:pStyle w:val="Default"/>
        <w:rPr>
          <w:color w:val="auto"/>
          <w:sz w:val="23"/>
          <w:szCs w:val="23"/>
        </w:rPr>
      </w:pPr>
      <w:r>
        <w:rPr>
          <w:color w:val="auto"/>
          <w:sz w:val="23"/>
          <w:szCs w:val="23"/>
        </w:rPr>
        <w:t xml:space="preserve">Nom : …………………………… </w:t>
      </w:r>
    </w:p>
    <w:p>
      <w:pPr>
        <w:pStyle w:val="Default"/>
        <w:rPr>
          <w:color w:val="auto"/>
          <w:sz w:val="23"/>
          <w:szCs w:val="23"/>
        </w:rPr>
      </w:pPr>
      <w:r>
        <w:rPr>
          <w:color w:val="auto"/>
          <w:sz w:val="23"/>
          <w:szCs w:val="23"/>
        </w:rPr>
        <w:t xml:space="preserve">Prénom : ………………………… </w:t>
      </w:r>
    </w:p>
    <w:p>
      <w:pPr>
        <w:pStyle w:val="Default"/>
        <w:rPr>
          <w:color w:val="auto"/>
          <w:sz w:val="23"/>
          <w:szCs w:val="23"/>
        </w:rPr>
      </w:pPr>
      <w:r>
        <w:rPr>
          <w:color w:val="auto"/>
          <w:sz w:val="23"/>
          <w:szCs w:val="23"/>
        </w:rPr>
        <w:t xml:space="preserve">Fonction : ……………………….. </w:t>
      </w:r>
    </w:p>
    <w:p>
      <w:pPr>
        <w:pStyle w:val="Default"/>
        <w:rPr>
          <w:color w:val="auto"/>
          <w:sz w:val="23"/>
          <w:szCs w:val="23"/>
        </w:rPr>
      </w:pPr>
      <w:r>
        <w:rPr>
          <w:color w:val="auto"/>
          <w:sz w:val="23"/>
          <w:szCs w:val="23"/>
        </w:rPr>
        <w:t>Tel :……………Mail :…………….</w:t>
      </w:r>
    </w:p>
    <w:p>
      <w:pPr>
        <w:pStyle w:val="Default"/>
        <w:rPr>
          <w:color w:val="auto"/>
          <w:sz w:val="23"/>
          <w:szCs w:val="23"/>
        </w:rPr>
      </w:pPr>
      <w:r>
        <w:rPr>
          <w:color w:val="auto"/>
          <w:sz w:val="23"/>
          <w:szCs w:val="23"/>
        </w:rPr>
      </w:r>
    </w:p>
    <w:p>
      <w:pPr>
        <w:pStyle w:val="Default"/>
        <w:rPr>
          <w:color w:val="auto"/>
          <w:sz w:val="12"/>
          <w:szCs w:val="12"/>
        </w:rPr>
      </w:pPr>
      <w:r>
        <w:rPr>
          <w:color w:val="auto"/>
          <w:sz w:val="12"/>
          <w:szCs w:val="12"/>
        </w:rPr>
      </w:r>
    </w:p>
    <w:p>
      <w:pPr>
        <w:pStyle w:val="Default"/>
        <w:rPr>
          <w:color w:val="auto"/>
          <w:sz w:val="23"/>
          <w:szCs w:val="23"/>
        </w:rPr>
      </w:pPr>
      <w:r>
        <w:rPr>
          <w:color w:val="auto"/>
          <w:sz w:val="23"/>
          <w:szCs w:val="23"/>
        </w:rPr>
        <w:t xml:space="preserve">Pour le titulaire </w:t>
      </w:r>
    </w:p>
    <w:p>
      <w:pPr>
        <w:pStyle w:val="Normal"/>
        <w:rPr>
          <w:sz w:val="23"/>
          <w:szCs w:val="23"/>
        </w:rPr>
      </w:pPr>
      <w:r>
        <w:rPr>
          <w:sz w:val="23"/>
          <w:szCs w:val="23"/>
        </w:rPr>
        <w:t>(Signature et cachet)</w:t>
      </w:r>
    </w:p>
    <w:p>
      <w:pPr>
        <w:pStyle w:val="Default"/>
        <w:spacing w:before="0" w:after="47"/>
        <w:jc w:val="both"/>
        <w:rPr>
          <w:color w:val="auto"/>
          <w:sz w:val="23"/>
          <w:szCs w:val="23"/>
          <w:u w:val="single"/>
        </w:rPr>
      </w:pPr>
      <w:r>
        <w:rPr>
          <w:sz w:val="23"/>
          <w:szCs w:val="23"/>
          <w:u w:val="single"/>
        </w:rPr>
        <w:t xml:space="preserve">N-B : </w:t>
      </w:r>
      <w:r>
        <w:rPr>
          <w:color w:val="auto"/>
          <w:sz w:val="23"/>
          <w:szCs w:val="23"/>
          <w:u w:val="single"/>
        </w:rPr>
        <w:t>Le suivi du chantier</w:t>
      </w:r>
    </w:p>
    <w:p>
      <w:pPr>
        <w:pStyle w:val="Default"/>
        <w:spacing w:before="0" w:after="47"/>
        <w:jc w:val="both"/>
        <w:rPr>
          <w:color w:val="auto"/>
          <w:sz w:val="23"/>
          <w:szCs w:val="23"/>
        </w:rPr>
      </w:pPr>
      <w:r>
        <w:rPr>
          <w:color w:val="auto"/>
          <w:sz w:val="23"/>
          <w:szCs w:val="23"/>
        </w:rPr>
        <w:t>La réalisation effective des heures d’insertion devra être justifiée, pour cela vous devrez communiquer régulièrement :</w:t>
      </w:r>
    </w:p>
    <w:p>
      <w:pPr>
        <w:pStyle w:val="Default"/>
        <w:spacing w:before="0" w:after="47"/>
        <w:jc w:val="both"/>
        <w:rPr>
          <w:color w:val="auto"/>
          <w:sz w:val="23"/>
          <w:szCs w:val="23"/>
        </w:rPr>
      </w:pPr>
      <w:r>
        <w:rPr>
          <w:color w:val="auto"/>
          <w:sz w:val="23"/>
          <w:szCs w:val="23"/>
        </w:rPr>
        <w:t xml:space="preserve">• </w:t>
      </w:r>
      <w:r>
        <w:rPr>
          <w:color w:val="auto"/>
          <w:sz w:val="23"/>
          <w:szCs w:val="23"/>
        </w:rPr>
        <w:t>les relevés d’heures d’insertion réalisées,</w:t>
      </w:r>
    </w:p>
    <w:p>
      <w:pPr>
        <w:pStyle w:val="Default"/>
        <w:spacing w:before="0" w:after="47"/>
        <w:jc w:val="both"/>
        <w:rPr>
          <w:color w:val="auto"/>
          <w:sz w:val="23"/>
          <w:szCs w:val="23"/>
        </w:rPr>
      </w:pPr>
      <w:r>
        <w:rPr>
          <w:color w:val="auto"/>
          <w:sz w:val="23"/>
          <w:szCs w:val="23"/>
        </w:rPr>
        <w:t xml:space="preserve">• </w:t>
      </w:r>
      <w:r>
        <w:rPr>
          <w:color w:val="auto"/>
          <w:sz w:val="23"/>
          <w:szCs w:val="23"/>
        </w:rPr>
        <w:t>les justificatifs (factures des prestataires d’intérim, Cv pour valider le profil insertion, copie du contrat de travail...), ainsi qu’une attestation finale en fin de chantier.</w:t>
      </w:r>
    </w:p>
    <w:p>
      <w:pPr>
        <w:pStyle w:val="Default"/>
        <w:spacing w:before="0" w:after="47"/>
        <w:jc w:val="both"/>
        <w:rPr>
          <w:color w:val="auto"/>
          <w:sz w:val="23"/>
          <w:szCs w:val="23"/>
        </w:rPr>
      </w:pPr>
      <w:r>
        <w:rPr>
          <w:color w:val="auto"/>
          <w:sz w:val="23"/>
          <w:szCs w:val="23"/>
        </w:rPr>
        <w:t>Attention, des pénalités par heure d’insertion non réalisée sont prévues au CCAP.</w:t>
      </w:r>
    </w:p>
    <w:p>
      <w:pPr>
        <w:pStyle w:val="Normal"/>
        <w:rPr>
          <w:sz w:val="23"/>
          <w:szCs w:val="23"/>
        </w:rPr>
      </w:pPr>
      <w:r>
        <w:rPr>
          <w:sz w:val="23"/>
          <w:szCs w:val="23"/>
        </w:rPr>
      </w:r>
      <w:r>
        <w:br w:type="page"/>
      </w:r>
    </w:p>
    <w:p>
      <w:pPr>
        <w:pStyle w:val="Normal"/>
        <w:jc w:val="center"/>
        <w:rPr>
          <w:rFonts w:ascii="Arial" w:hAnsi="Arial" w:cs="Arial"/>
          <w:b/>
        </w:rPr>
      </w:pPr>
      <w:r>
        <w:rPr>
          <w:rFonts w:cs="Arial" w:ascii="Arial" w:hAnsi="Arial"/>
          <w:b/>
        </w:rPr>
        <w:t>Pour vous aider dans vos démarches</w:t>
      </w:r>
    </w:p>
    <w:p>
      <w:pPr>
        <w:pStyle w:val="Normal"/>
        <w:spacing w:lineRule="auto" w:line="240" w:before="0" w:after="0"/>
        <w:rPr>
          <w:rFonts w:ascii="ArialMT" w:hAnsi="ArialMT" w:cs="ArialMT"/>
          <w:color w:val="000000"/>
        </w:rPr>
      </w:pPr>
      <w:r>
        <w:rPr>
          <w:rFonts w:cs="ArialMT" w:ascii="ArialMT" w:hAnsi="ArialMT"/>
          <w:color w:val="000000"/>
        </w:rPr>
        <w:t>Les clauses d’insertion sont réservées à des publics relevant de l’Insertion par l’Activité Économique. Ces publics peuvent être :</w:t>
      </w:r>
    </w:p>
    <w:p>
      <w:pPr>
        <w:pStyle w:val="Normal"/>
        <w:spacing w:lineRule="auto" w:line="240" w:before="0" w:after="0"/>
        <w:rPr>
          <w:rFonts w:ascii="ArialMT" w:hAnsi="ArialMT" w:cs="ArialMT"/>
          <w:color w:val="000000"/>
        </w:rPr>
      </w:pPr>
      <w:r>
        <w:rPr>
          <w:rFonts w:cs="ArialMT" w:ascii="ArialMT" w:hAnsi="ArialMT"/>
          <w:color w:val="000000"/>
        </w:rPr>
      </w:r>
    </w:p>
    <w:p>
      <w:pPr>
        <w:pStyle w:val="Normal"/>
        <w:spacing w:lineRule="auto" w:line="240" w:before="0" w:after="0"/>
        <w:rPr>
          <w:rFonts w:ascii="ArialMT" w:hAnsi="ArialMT" w:cs="ArialMT"/>
          <w:color w:val="000000"/>
        </w:rPr>
      </w:pPr>
      <w:r>
        <w:rPr>
          <w:rFonts w:cs="ArialMT" w:ascii="ArialMT" w:hAnsi="ArialMT"/>
          <w:color w:val="000000"/>
        </w:rPr>
        <w:t xml:space="preserve">• </w:t>
      </w:r>
      <w:r>
        <w:rPr>
          <w:rFonts w:cs="ArialMT" w:ascii="ArialMT" w:hAnsi="ArialMT"/>
          <w:color w:val="000000"/>
        </w:rPr>
        <w:t>des demandeurs d’emploi inscrits depuis plus d’un an à Pôle Emploi,</w:t>
      </w:r>
    </w:p>
    <w:p>
      <w:pPr>
        <w:pStyle w:val="Normal"/>
        <w:spacing w:lineRule="auto" w:line="240" w:before="0" w:after="0"/>
        <w:rPr>
          <w:rFonts w:ascii="ArialMT" w:hAnsi="ArialMT" w:cs="ArialMT"/>
          <w:color w:val="000000"/>
        </w:rPr>
      </w:pPr>
      <w:r>
        <w:rPr>
          <w:rFonts w:cs="ArialMT" w:ascii="ArialMT" w:hAnsi="ArialMT"/>
          <w:color w:val="000000"/>
        </w:rPr>
        <w:t xml:space="preserve">• </w:t>
      </w:r>
      <w:r>
        <w:rPr>
          <w:rFonts w:cs="ArialMT" w:ascii="ArialMT" w:hAnsi="ArialMT"/>
          <w:color w:val="000000"/>
        </w:rPr>
        <w:t>des allocataires du RSA et de l’Allocation de Solidarité Spécifique,</w:t>
      </w:r>
    </w:p>
    <w:p>
      <w:pPr>
        <w:pStyle w:val="Normal"/>
        <w:spacing w:lineRule="auto" w:line="240" w:before="0" w:after="0"/>
        <w:rPr>
          <w:rFonts w:ascii="ArialMT" w:hAnsi="ArialMT" w:cs="ArialMT"/>
          <w:color w:val="000000"/>
        </w:rPr>
      </w:pPr>
      <w:r>
        <w:rPr>
          <w:rFonts w:cs="ArialMT" w:ascii="ArialMT" w:hAnsi="ArialMT"/>
          <w:color w:val="000000"/>
        </w:rPr>
        <w:t xml:space="preserve">• </w:t>
      </w:r>
      <w:r>
        <w:rPr>
          <w:rFonts w:cs="ArialMT" w:ascii="ArialMT" w:hAnsi="ArialMT"/>
          <w:color w:val="000000"/>
        </w:rPr>
        <w:t>les travailleurs handicapés relevant du milieu ordinaire de travail,</w:t>
      </w:r>
    </w:p>
    <w:p>
      <w:pPr>
        <w:pStyle w:val="Normal"/>
        <w:spacing w:lineRule="auto" w:line="240" w:before="0" w:after="0"/>
        <w:jc w:val="both"/>
        <w:rPr>
          <w:rFonts w:ascii="ArialMT" w:hAnsi="ArialMT" w:cs="ArialMT"/>
          <w:color w:val="000000"/>
        </w:rPr>
      </w:pPr>
      <w:r>
        <w:rPr>
          <w:rFonts w:cs="ArialMT" w:ascii="ArialMT" w:hAnsi="ArialMT"/>
          <w:color w:val="000000"/>
        </w:rPr>
        <w:t xml:space="preserve">• </w:t>
      </w:r>
      <w:r>
        <w:rPr>
          <w:rFonts w:cs="ArialMT" w:ascii="ArialMT" w:hAnsi="ArialMT"/>
          <w:color w:val="000000"/>
        </w:rPr>
        <w:t>les jeunes de moins de moins de 26 ans sans qualification et/ou sans expériences,</w:t>
      </w:r>
    </w:p>
    <w:p>
      <w:pPr>
        <w:pStyle w:val="Normal"/>
        <w:spacing w:lineRule="auto" w:line="240" w:before="0" w:after="0"/>
        <w:jc w:val="both"/>
        <w:rPr>
          <w:rFonts w:ascii="ArialMT" w:hAnsi="ArialMT" w:cs="ArialMT"/>
          <w:color w:val="000000"/>
        </w:rPr>
      </w:pPr>
      <w:r>
        <w:rPr>
          <w:rFonts w:cs="ArialMT" w:ascii="ArialMT" w:hAnsi="ArialMT"/>
          <w:color w:val="000000"/>
        </w:rPr>
        <w:t xml:space="preserve">• </w:t>
      </w:r>
      <w:r>
        <w:rPr>
          <w:rFonts w:cs="ArialMT" w:ascii="ArialMT" w:hAnsi="ArialMT"/>
          <w:color w:val="000000"/>
        </w:rPr>
        <w:t xml:space="preserve">Les Séniors et les personnes en difficulté sur avis motivé de Pôle Emploi, de la mission locale ou de la MDPH. </w:t>
      </w:r>
    </w:p>
    <w:p>
      <w:pPr>
        <w:pStyle w:val="Normal"/>
        <w:spacing w:lineRule="auto" w:line="240" w:before="0" w:after="0"/>
        <w:jc w:val="both"/>
        <w:rPr>
          <w:rFonts w:ascii="ArialMT" w:hAnsi="ArialMT" w:cs="ArialMT"/>
          <w:color w:val="000000"/>
        </w:rPr>
      </w:pPr>
      <w:r>
        <w:rPr>
          <w:rFonts w:cs="ArialMT" w:ascii="ArialMT" w:hAnsi="ArialMT"/>
          <w:color w:val="000000"/>
        </w:rPr>
      </w:r>
    </w:p>
    <w:p>
      <w:pPr>
        <w:pStyle w:val="Normal"/>
        <w:spacing w:lineRule="auto" w:line="240" w:before="0" w:after="0"/>
        <w:jc w:val="center"/>
        <w:rPr>
          <w:rFonts w:ascii="Arial-BoldMT" w:hAnsi="Arial-BoldMT" w:cs="Arial-BoldMT"/>
          <w:b/>
          <w:bCs/>
          <w:color w:val="000000"/>
        </w:rPr>
      </w:pPr>
      <w:r>
        <w:rPr>
          <w:rFonts w:cs="Arial-BoldMT" w:ascii="Arial-BoldMT" w:hAnsi="Arial-BoldMT"/>
          <w:b/>
          <w:bCs/>
          <w:color w:val="000000"/>
        </w:rPr>
      </w:r>
    </w:p>
    <w:p>
      <w:pPr>
        <w:pStyle w:val="Normal"/>
        <w:spacing w:lineRule="auto" w:line="240" w:before="0" w:after="0"/>
        <w:jc w:val="center"/>
        <w:rPr>
          <w:rFonts w:ascii="Arial-BoldMT" w:hAnsi="Arial-BoldMT" w:cs="Arial-BoldMT"/>
          <w:b/>
          <w:bCs/>
          <w:color w:val="000000"/>
        </w:rPr>
      </w:pPr>
      <w:r>
        <w:rPr>
          <w:rFonts w:cs="Arial-BoldMT" w:ascii="Arial-BoldMT" w:hAnsi="Arial-BoldMT"/>
          <w:b/>
          <w:bCs/>
          <w:color w:val="000000"/>
        </w:rPr>
        <w:t>Les différentes possibilités :</w:t>
      </w:r>
    </w:p>
    <w:p>
      <w:pPr>
        <w:pStyle w:val="Normal"/>
        <w:spacing w:lineRule="auto" w:line="240" w:before="0" w:after="0"/>
        <w:rPr>
          <w:rFonts w:ascii="ArialMT" w:hAnsi="ArialMT" w:cs="ArialMT"/>
          <w:color w:val="000000"/>
        </w:rPr>
      </w:pPr>
      <w:r>
        <w:rPr>
          <w:rFonts w:cs="ArialMT" w:ascii="ArialMT" w:hAnsi="ArialMT"/>
          <w:color w:val="000000"/>
        </w:rPr>
      </w:r>
    </w:p>
    <w:p>
      <w:pPr>
        <w:pStyle w:val="Normal"/>
        <w:spacing w:lineRule="auto" w:line="240" w:before="0" w:after="0"/>
        <w:rPr>
          <w:rFonts w:ascii="Arial-BoldMT" w:hAnsi="Arial-BoldMT" w:cs="Arial-BoldMT"/>
          <w:b/>
          <w:bCs/>
          <w:color w:val="000000"/>
        </w:rPr>
      </w:pPr>
      <w:r>
        <w:rPr>
          <w:rFonts w:cs="Arial-BoldMT" w:ascii="Arial-BoldMT" w:hAnsi="Arial-BoldMT"/>
          <w:b/>
          <w:bCs/>
          <w:color w:val="000000"/>
        </w:rPr>
        <w:t>A. Embaucher en direct</w:t>
      </w:r>
    </w:p>
    <w:p>
      <w:pPr>
        <w:pStyle w:val="Normal"/>
        <w:spacing w:lineRule="auto" w:line="240" w:before="0" w:after="0"/>
        <w:jc w:val="both"/>
        <w:rPr>
          <w:rFonts w:ascii="ArialMT" w:hAnsi="ArialMT" w:cs="ArialMT"/>
          <w:color w:val="000000"/>
          <w:u w:val="single"/>
        </w:rPr>
      </w:pPr>
      <w:r>
        <w:rPr>
          <w:rFonts w:cs="ArialMT" w:ascii="ArialMT" w:hAnsi="ArialMT"/>
          <w:color w:val="000000"/>
        </w:rPr>
        <w:t xml:space="preserve">Peu importe la nature des embauches (CDD à durée de chantier, CDI, contrats en alternance, contrat de professionnalisation, etc.) ou l’employeur (l’entreprise titulaire ou un sous-traitant) tant que les personnels </w:t>
      </w:r>
      <w:r>
        <w:rPr>
          <w:rFonts w:cs="ArialMT" w:ascii="ArialMT" w:hAnsi="ArialMT"/>
          <w:color w:val="000000"/>
          <w:u w:val="single"/>
        </w:rPr>
        <w:t>sont dédiés au chantier.</w:t>
      </w:r>
    </w:p>
    <w:p>
      <w:pPr>
        <w:pStyle w:val="Normal"/>
        <w:spacing w:lineRule="auto" w:line="240" w:before="0" w:after="0"/>
        <w:jc w:val="both"/>
        <w:rPr>
          <w:rFonts w:ascii="ArialMT" w:hAnsi="ArialMT" w:cs="ArialMT"/>
          <w:color w:val="000000"/>
        </w:rPr>
      </w:pPr>
      <w:r>
        <w:rPr>
          <w:rFonts w:cs="ArialMT" w:ascii="ArialMT" w:hAnsi="ArialMT"/>
          <w:color w:val="000000"/>
        </w:rPr>
        <w:t>Attention, il vous faudra justifier que la personne embauchée relève des critères de l’insertion: pensez à faire valider le profil de la personne auprès de Pôle Emploi avant le recrutement.</w:t>
      </w:r>
    </w:p>
    <w:p>
      <w:pPr>
        <w:pStyle w:val="Normal"/>
        <w:spacing w:lineRule="auto" w:line="240" w:before="0" w:after="0"/>
        <w:rPr>
          <w:rFonts w:ascii="Arial-BoldMT" w:hAnsi="Arial-BoldMT" w:cs="Arial-BoldMT"/>
          <w:b/>
          <w:bCs/>
          <w:color w:val="000000"/>
        </w:rPr>
      </w:pPr>
      <w:r>
        <w:rPr>
          <w:rFonts w:cs="Arial-BoldMT" w:ascii="Arial-BoldMT" w:hAnsi="Arial-BoldMT"/>
          <w:b/>
          <w:bCs/>
          <w:color w:val="000000"/>
        </w:rPr>
      </w:r>
    </w:p>
    <w:p>
      <w:pPr>
        <w:pStyle w:val="Normal"/>
        <w:spacing w:lineRule="auto" w:line="240" w:before="0" w:after="0"/>
        <w:rPr>
          <w:rFonts w:ascii="Arial-BoldMT" w:hAnsi="Arial-BoldMT" w:cs="Arial-BoldMT"/>
          <w:b/>
          <w:bCs/>
          <w:color w:val="000000"/>
        </w:rPr>
      </w:pPr>
      <w:r>
        <w:rPr>
          <w:rFonts w:cs="Arial-BoldMT" w:ascii="Arial-BoldMT" w:hAnsi="Arial-BoldMT"/>
          <w:b/>
          <w:bCs/>
          <w:color w:val="000000"/>
        </w:rPr>
        <w:t>B. Recourir à une Entreprise de Travail Temporaire d’Insertion (ETTI)</w:t>
      </w:r>
    </w:p>
    <w:p>
      <w:pPr>
        <w:pStyle w:val="Normal"/>
        <w:spacing w:lineRule="auto" w:line="240" w:before="0" w:after="0"/>
        <w:jc w:val="both"/>
        <w:rPr>
          <w:rFonts w:ascii="Arial" w:hAnsi="Arial" w:cs="Arial"/>
          <w:bCs/>
        </w:rPr>
      </w:pPr>
      <w:r>
        <w:rPr>
          <w:rFonts w:cs="ArialMT" w:ascii="ArialMT" w:hAnsi="ArialMT"/>
          <w:color w:val="000000"/>
        </w:rPr>
        <w:t xml:space="preserve">Les Entreprises d’Intérim d’Insertion sont des agences d’intérim classiques dont le public est en insertion professionnelle. Celui-ci bénéficie également d’un accompagnement social. Les ETTI ne sont pas sectorisées. </w:t>
      </w:r>
      <w:r>
        <w:rPr>
          <w:rFonts w:cs="Arial" w:ascii="Arial" w:hAnsi="Arial"/>
          <w:bCs/>
        </w:rPr>
        <w:t>Les entreprises intérimaires classiques peuvent aussi être sollicitées, si elles mettent à disposition des personnes qui entrent dans le champ de l’insertion (profil à faire valider auprès du facilitateur, chargé de Mission Insertion).</w:t>
      </w:r>
    </w:p>
    <w:p>
      <w:pPr>
        <w:pStyle w:val="Normal"/>
        <w:spacing w:lineRule="auto" w:line="240" w:before="0" w:after="0"/>
        <w:jc w:val="both"/>
        <w:rPr>
          <w:rFonts w:ascii="Arial" w:hAnsi="Arial" w:cs="Arial"/>
        </w:rPr>
      </w:pPr>
      <w:r>
        <w:rPr>
          <w:rFonts w:cs="Arial" w:ascii="Arial" w:hAnsi="Arial"/>
        </w:rPr>
      </w:r>
    </w:p>
    <w:p>
      <w:pPr>
        <w:pStyle w:val="Normal"/>
        <w:spacing w:lineRule="auto" w:line="240" w:before="0" w:after="0"/>
        <w:rPr>
          <w:rFonts w:ascii="Arial-BoldMT" w:hAnsi="Arial-BoldMT" w:cs="Arial-BoldMT"/>
          <w:b/>
          <w:bCs/>
          <w:color w:val="000000"/>
        </w:rPr>
      </w:pPr>
      <w:r>
        <w:rPr>
          <w:rFonts w:cs="Arial-BoldMT" w:ascii="Arial-BoldMT" w:hAnsi="Arial-BoldMT"/>
          <w:b/>
          <w:bCs/>
          <w:color w:val="000000"/>
        </w:rPr>
        <w:t>C. Passer par un GEIQ</w:t>
      </w:r>
    </w:p>
    <w:p>
      <w:pPr>
        <w:pStyle w:val="Normal"/>
        <w:spacing w:lineRule="auto" w:line="240" w:before="0" w:after="0"/>
        <w:jc w:val="both"/>
        <w:rPr>
          <w:rFonts w:ascii="ArialMT" w:hAnsi="ArialMT" w:cs="ArialMT"/>
          <w:color w:val="000000"/>
        </w:rPr>
      </w:pPr>
      <w:r>
        <w:rPr>
          <w:rFonts w:cs="ArialMT" w:ascii="ArialMT" w:hAnsi="ArialMT"/>
          <w:color w:val="000000"/>
        </w:rPr>
        <w:t>Les Groupements d’Employeurs pour l’Insertion et la Qualification (GEIQ) emploient des publics en insertion, puis les mettent à disposition des entreprises adhérentes par le biais d’un contrat de professionnalisation (alternance de temps de formation et de production). Ils sont sectorisés.</w:t>
      </w:r>
    </w:p>
    <w:p>
      <w:pPr>
        <w:pStyle w:val="Normal"/>
        <w:spacing w:lineRule="auto" w:line="240" w:before="0" w:after="0"/>
        <w:jc w:val="center"/>
        <w:rPr>
          <w:rFonts w:ascii="Arial-BoldMT" w:hAnsi="Arial-BoldMT" w:cs="Arial-BoldMT"/>
          <w:b/>
          <w:bCs/>
          <w:color w:val="000000"/>
        </w:rPr>
      </w:pPr>
      <w:r>
        <w:rPr>
          <w:rFonts w:cs="Arial-BoldMT" w:ascii="Arial-BoldMT" w:hAnsi="Arial-BoldMT"/>
          <w:b/>
          <w:bCs/>
          <w:color w:val="000000"/>
        </w:rPr>
      </w:r>
    </w:p>
    <w:p>
      <w:pPr>
        <w:pStyle w:val="Normal"/>
        <w:spacing w:lineRule="auto" w:line="240" w:before="0" w:after="0"/>
        <w:rPr>
          <w:rFonts w:ascii="Arial-BoldMT" w:hAnsi="Arial-BoldMT" w:cs="Arial-BoldMT"/>
          <w:b/>
          <w:bCs/>
          <w:color w:val="000000"/>
        </w:rPr>
      </w:pPr>
      <w:r>
        <w:rPr>
          <w:rFonts w:cs="Arial-BoldMT" w:ascii="Arial-BoldMT" w:hAnsi="Arial-BoldMT"/>
          <w:b/>
          <w:bCs/>
          <w:color w:val="000000"/>
        </w:rPr>
        <w:t>D. Recourir à des Entreprises d’Insertion</w:t>
      </w:r>
    </w:p>
    <w:p>
      <w:pPr>
        <w:pStyle w:val="Normal"/>
        <w:spacing w:lineRule="auto" w:line="240" w:before="0" w:after="0"/>
        <w:rPr>
          <w:rFonts w:ascii="ArialMT" w:hAnsi="ArialMT" w:cs="ArialMT"/>
          <w:color w:val="000000"/>
        </w:rPr>
      </w:pPr>
      <w:r>
        <w:rPr>
          <w:rFonts w:cs="ArialMT" w:ascii="ArialMT" w:hAnsi="ArialMT"/>
          <w:color w:val="000000"/>
        </w:rPr>
        <w:t>Les Entreprises d’Insertion sont des entreprises classiques selon les conditions du marché et avec le même régime fiscal mais avec une finalité sociale : elles sont agréées par l’État pour embaucher et accompagner des publics éloignés de l’emploi.</w:t>
      </w:r>
    </w:p>
    <w:p>
      <w:pPr>
        <w:pStyle w:val="Normal"/>
        <w:spacing w:lineRule="auto" w:line="240" w:before="0" w:after="0"/>
        <w:rPr>
          <w:rFonts w:ascii="ArialMT" w:hAnsi="ArialMT" w:cs="ArialMT"/>
          <w:color w:val="000000"/>
        </w:rPr>
      </w:pPr>
      <w:r>
        <w:rPr>
          <w:rFonts w:cs="ArialMT" w:ascii="ArialMT" w:hAnsi="ArialMT"/>
          <w:color w:val="000000"/>
        </w:rPr>
        <w:t>Les champs d’activité des entreprises d’insertion sont variés mais concernent le plus souvent le second œuvre et l’entretien ménager.</w:t>
      </w:r>
    </w:p>
    <w:p>
      <w:pPr>
        <w:pStyle w:val="Normal"/>
        <w:spacing w:lineRule="auto" w:line="240" w:before="0" w:after="0"/>
        <w:rPr>
          <w:rFonts w:ascii="ArialMT" w:hAnsi="ArialMT" w:cs="ArialMT"/>
          <w:color w:val="000000"/>
        </w:rPr>
      </w:pPr>
      <w:r>
        <w:rPr>
          <w:rFonts w:cs="ArialMT" w:ascii="ArialMT" w:hAnsi="ArialMT"/>
          <w:color w:val="000000"/>
        </w:rPr>
        <w:t>Vous pouvez :</w:t>
      </w:r>
    </w:p>
    <w:p>
      <w:pPr>
        <w:pStyle w:val="Normal"/>
        <w:spacing w:lineRule="auto" w:line="240" w:before="0" w:after="0"/>
        <w:rPr>
          <w:rFonts w:ascii="ArialMT" w:hAnsi="ArialMT" w:cs="ArialMT"/>
          <w:color w:val="000000"/>
        </w:rPr>
      </w:pPr>
      <w:r>
        <w:rPr>
          <w:rFonts w:cs="ArialMT" w:ascii="ArialMT" w:hAnsi="ArialMT"/>
          <w:color w:val="000000"/>
        </w:rPr>
        <w:t xml:space="preserve">• </w:t>
      </w:r>
      <w:r>
        <w:rPr>
          <w:rFonts w:cs="ArialMT" w:ascii="ArialMT" w:hAnsi="ArialMT"/>
          <w:color w:val="000000"/>
        </w:rPr>
        <w:t>sous-traiter une partie d’un marché ou d’un lot à une entreprise d’insertion,</w:t>
      </w:r>
    </w:p>
    <w:p>
      <w:pPr>
        <w:pStyle w:val="Normal"/>
        <w:spacing w:lineRule="auto" w:line="240" w:before="0" w:after="0"/>
        <w:rPr>
          <w:rFonts w:ascii="ArialMT" w:hAnsi="ArialMT" w:cs="ArialMT"/>
          <w:color w:val="000000"/>
        </w:rPr>
      </w:pPr>
      <w:r>
        <w:rPr>
          <w:rFonts w:cs="ArialMT" w:ascii="ArialMT" w:hAnsi="ArialMT"/>
          <w:color w:val="000000"/>
        </w:rPr>
        <w:t xml:space="preserve">• </w:t>
      </w:r>
      <w:r>
        <w:rPr>
          <w:rFonts w:cs="ArialMT" w:ascii="ArialMT" w:hAnsi="ArialMT"/>
          <w:color w:val="000000"/>
        </w:rPr>
        <w:t>co-traiter avec une entreprise d’insertion en répondant conjointement à l’avis d’appel public à la concurrence.</w:t>
      </w:r>
    </w:p>
    <w:p>
      <w:pPr>
        <w:pStyle w:val="Normal"/>
        <w:spacing w:lineRule="auto" w:line="240" w:before="0" w:after="0"/>
        <w:jc w:val="both"/>
        <w:rPr>
          <w:rFonts w:ascii="ArialMT" w:hAnsi="ArialMT" w:cs="ArialMT"/>
          <w:color w:val="000000"/>
        </w:rPr>
      </w:pPr>
      <w:r>
        <w:rPr>
          <w:rFonts w:cs="ArialMT" w:ascii="ArialMT" w:hAnsi="ArialMT"/>
          <w:color w:val="000000"/>
        </w:rPr>
      </w:r>
    </w:p>
    <w:p>
      <w:pPr>
        <w:pStyle w:val="Normal"/>
        <w:spacing w:lineRule="auto" w:line="240" w:before="0" w:after="0"/>
        <w:rPr>
          <w:rFonts w:ascii="Arial-BoldMT" w:hAnsi="Arial-BoldMT" w:cs="Arial-BoldMT"/>
          <w:b/>
          <w:bCs/>
          <w:color w:val="000000"/>
        </w:rPr>
      </w:pPr>
      <w:r>
        <w:rPr>
          <w:rFonts w:cs="Arial-BoldMT" w:ascii="Arial-BoldMT" w:hAnsi="Arial-BoldMT"/>
          <w:b/>
          <w:bCs/>
          <w:color w:val="000000"/>
        </w:rPr>
      </w:r>
    </w:p>
    <w:p>
      <w:pPr>
        <w:pStyle w:val="Normal"/>
        <w:spacing w:lineRule="auto" w:line="240" w:before="0" w:after="0"/>
        <w:rPr>
          <w:rFonts w:ascii="Arial-BoldMT" w:hAnsi="Arial-BoldMT" w:cs="Arial-BoldMT"/>
          <w:b/>
          <w:bCs/>
          <w:color w:val="000000"/>
        </w:rPr>
      </w:pPr>
      <w:r>
        <w:rPr>
          <w:rFonts w:cs="Arial-BoldMT" w:ascii="Arial-BoldMT" w:hAnsi="Arial-BoldMT"/>
          <w:b/>
          <w:bCs/>
          <w:color w:val="000000"/>
        </w:rPr>
        <w:t>E. Recourir à une Association Intermédiaire (AI)</w:t>
      </w:r>
    </w:p>
    <w:p>
      <w:pPr>
        <w:pStyle w:val="Normal"/>
        <w:spacing w:lineRule="auto" w:line="240" w:before="0" w:after="0"/>
        <w:jc w:val="both"/>
        <w:rPr>
          <w:rFonts w:ascii="ArialMT" w:hAnsi="ArialMT" w:cs="ArialMT"/>
          <w:color w:val="000000"/>
        </w:rPr>
      </w:pPr>
      <w:r>
        <w:rPr>
          <w:rFonts w:cs="ArialMT" w:ascii="ArialMT" w:hAnsi="ArialMT"/>
          <w:color w:val="000000"/>
        </w:rPr>
        <w:t>Les Associations Intermédiaires mettent des publics en insertion à disposition des entreprises. L’AI reste l’employeur et assure la gestion des fiches de paie. On peut comparer les AI à des agences d’intérim mais elles assurent un suivi social renforcé des personnels, sur un territoire d’agrément déterminé.</w:t>
      </w:r>
    </w:p>
    <w:sectPr>
      <w:footerReference w:type="default" r:id="rId4"/>
      <w:type w:val="nextPage"/>
      <w:pgSz w:w="11906" w:h="16838"/>
      <w:pgMar w:left="1417" w:right="1417" w:gutter="0" w:header="0"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swiss"/>
    <w:pitch w:val="variable"/>
  </w:font>
  <w:font w:name="Arial Narrow">
    <w:charset w:val="00"/>
    <w:family w:val="roman"/>
    <w:pitch w:val="variable"/>
  </w:font>
  <w:font w:name="Times New Roman">
    <w:charset w:val="01"/>
    <w:family w:val="roman"/>
    <w:pitch w:val="variable"/>
  </w:font>
  <w:font w:name="Arial">
    <w:charset w:val="00"/>
    <w:family w:val="roman"/>
    <w:pitch w:val="variable"/>
  </w:font>
  <w:font w:name="ArialMT">
    <w:charset w:val="00"/>
    <w:family w:val="roman"/>
    <w:pitch w:val="variable"/>
  </w:font>
  <w:font w:name="Arial-BoldMT">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83077435"/>
    </w:sdtPr>
    <w:sdtContent>
      <w:p>
        <w:pPr>
          <w:pStyle w:val="Pieddepage"/>
          <w:jc w:val="right"/>
          <w:rPr/>
        </w:pPr>
        <w:r>
          <w:rPr/>
          <w:fldChar w:fldCharType="begin"/>
        </w:r>
        <w:r>
          <w:rPr/>
          <w:instrText xml:space="preserve"> PAGE </w:instrText>
        </w:r>
        <w:r>
          <w:rPr/>
          <w:fldChar w:fldCharType="separate"/>
        </w:r>
        <w:r>
          <w:rPr/>
          <w:t>3</w:t>
        </w:r>
        <w:r>
          <w:rPr/>
          <w:fldChar w:fldCharType="end"/>
        </w:r>
      </w:p>
    </w:sdtContent>
  </w:sdt>
  <w:p>
    <w:pPr>
      <w:pStyle w:val="Pieddepage"/>
      <w:rPr/>
    </w:pPr>
    <w:r>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LienInternet">
    <w:name w:val="Hyperlink"/>
    <w:basedOn w:val="DefaultParagraphFont"/>
    <w:uiPriority w:val="99"/>
    <w:unhideWhenUsed/>
    <w:rsid w:val="00553284"/>
    <w:rPr>
      <w:color w:val="0563C1" w:themeColor="hyperlink"/>
      <w:u w:val="single"/>
    </w:rPr>
  </w:style>
  <w:style w:type="character" w:styleId="En-tteCar" w:customStyle="1">
    <w:name w:val="En-tête Car"/>
    <w:basedOn w:val="DefaultParagraphFont"/>
    <w:uiPriority w:val="99"/>
    <w:qFormat/>
    <w:rsid w:val="00043fd6"/>
    <w:rPr/>
  </w:style>
  <w:style w:type="character" w:styleId="PieddepageCar" w:customStyle="1">
    <w:name w:val="Pied de page Car"/>
    <w:basedOn w:val="DefaultParagraphFont"/>
    <w:uiPriority w:val="99"/>
    <w:qFormat/>
    <w:rsid w:val="00043fd6"/>
    <w:rPr/>
  </w:style>
  <w:style w:type="character" w:styleId="TextedebullesCar" w:customStyle="1">
    <w:name w:val="Texte de bulles Car"/>
    <w:basedOn w:val="DefaultParagraphFont"/>
    <w:link w:val="BalloonText"/>
    <w:uiPriority w:val="99"/>
    <w:semiHidden/>
    <w:qFormat/>
    <w:rsid w:val="0076175a"/>
    <w:rPr>
      <w:rFonts w:ascii="Segoe UI" w:hAnsi="Segoe UI" w:cs="Segoe UI"/>
      <w:sz w:val="18"/>
      <w:szCs w:val="18"/>
    </w:rPr>
  </w:style>
  <w:style w:type="paragraph" w:styleId="Titre">
    <w:name w:val="Titre"/>
    <w:basedOn w:val="Normal"/>
    <w:next w:val="Corpsdetexte"/>
    <w:qFormat/>
    <w:pPr>
      <w:keepNext w:val="true"/>
      <w:spacing w:before="240" w:after="120"/>
    </w:pPr>
    <w:rPr>
      <w:rFonts w:ascii="Liberation Sans" w:hAnsi="Liberation Sans" w:eastAsia="Microsoft YaHei" w:cs="Arial Unicode MS"/>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Unicode MS"/>
    </w:rPr>
  </w:style>
  <w:style w:type="paragraph" w:styleId="Lgende">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Default" w:customStyle="1">
    <w:name w:val="Default"/>
    <w:qFormat/>
    <w:rsid w:val="00553284"/>
    <w:pPr>
      <w:widowControl/>
      <w:bidi w:val="0"/>
      <w:spacing w:lineRule="auto" w:line="240" w:before="0" w:after="0"/>
      <w:jc w:val="left"/>
    </w:pPr>
    <w:rPr>
      <w:rFonts w:ascii="Times New Roman" w:hAnsi="Times New Roman" w:cs="Times New Roman" w:eastAsia="Calibri"/>
      <w:color w:val="000000"/>
      <w:kern w:val="0"/>
      <w:sz w:val="24"/>
      <w:szCs w:val="24"/>
      <w:lang w:val="fr-FR" w:eastAsia="en-US" w:bidi="ar-SA"/>
    </w:rPr>
  </w:style>
  <w:style w:type="paragraph" w:styleId="En-tteetpieddepage">
    <w:name w:val="En-tête et pied de page"/>
    <w:basedOn w:val="Normal"/>
    <w:qFormat/>
    <w:pPr/>
    <w:rPr/>
  </w:style>
  <w:style w:type="paragraph" w:styleId="En-tte">
    <w:name w:val="Header"/>
    <w:basedOn w:val="Normal"/>
    <w:link w:val="En-tteCar"/>
    <w:uiPriority w:val="99"/>
    <w:unhideWhenUsed/>
    <w:rsid w:val="00043fd6"/>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rsid w:val="00043fd6"/>
    <w:pPr>
      <w:tabs>
        <w:tab w:val="clear" w:pos="708"/>
        <w:tab w:val="center" w:pos="4536" w:leader="none"/>
        <w:tab w:val="right" w:pos="9072" w:leader="none"/>
      </w:tabs>
      <w:spacing w:lineRule="auto" w:line="240" w:before="0" w:after="0"/>
    </w:pPr>
    <w:rPr/>
  </w:style>
  <w:style w:type="paragraph" w:styleId="BalloonText">
    <w:name w:val="Balloon Text"/>
    <w:basedOn w:val="Normal"/>
    <w:link w:val="TextedebullesCar"/>
    <w:uiPriority w:val="99"/>
    <w:semiHidden/>
    <w:unhideWhenUsed/>
    <w:qFormat/>
    <w:rsid w:val="0076175a"/>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04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D7DFE-2D11-4F04-959A-2DB34FADB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Application>LibreOffice/7.5.7.1.M1$Windows_X86_64 LibreOffice_project/9d4bf91ba30c991aaed3b97dd4173f7705c6b5ae</Application>
  <AppVersion>15.0000</AppVersion>
  <Pages>3</Pages>
  <Words>895</Words>
  <Characters>5038</Characters>
  <CharactersWithSpaces>5897</CharactersWithSpaces>
  <Paragraphs>56</Paragraphs>
  <Company>NM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2018-03-20T08:25:00Z</dcterms:created>
  <dc:creator>nicolas thomazic</dc:creator>
  <dc:description/>
  <dc:language>fr-FR</dc:language>
  <cp:lastModifiedBy/>
  <cp:lastPrinted>2016-09-15T14:29:00Z</cp:lastPrinted>
  <dcterms:modified xsi:type="dcterms:W3CDTF">2025-07-30T11:59:10Z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